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B44912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 w:rsidRPr="00DA3CE1">
              <w:rPr>
                <w:rFonts w:asciiTheme="majorHAnsi" w:hAnsiTheme="majorHAnsi" w:cs="Arial"/>
                <w:b/>
                <w:sz w:val="18"/>
                <w:szCs w:val="18"/>
              </w:rPr>
              <w:t>Selected Topics in Analytical Chemistry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 w:rsidP="00103AE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3AE5">
              <w:rPr>
                <w:rFonts w:asciiTheme="majorHAnsi" w:hAnsiTheme="majorHAnsi" w:cs="Arial"/>
                <w:b/>
                <w:sz w:val="18"/>
                <w:szCs w:val="18"/>
              </w:rPr>
              <w:t>STIAC</w:t>
            </w:r>
            <w:bookmarkStart w:id="0" w:name="_GoBack"/>
            <w:bookmarkEnd w:id="0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A3CE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A3CE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B44912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9429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9429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4E556A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B44912" w:rsidP="00DA3C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 w:rsidP="00A041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 w:rsidP="00A041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 w:rsidP="00DA3C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 w:rsidP="00A041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>
              <w:rPr>
                <w:rFonts w:asciiTheme="majorHAnsi" w:hAnsiTheme="majorHAnsi" w:cs="Arial"/>
                <w:b/>
                <w:sz w:val="18"/>
                <w:szCs w:val="18"/>
              </w:rPr>
              <w:t>83,86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 w:rsidP="00DA3C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B44912" w:rsidP="00A041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>
              <w:rPr>
                <w:rFonts w:asciiTheme="majorHAnsi" w:hAnsiTheme="majorHAnsi" w:cs="Arial"/>
                <w:b/>
                <w:sz w:val="18"/>
                <w:szCs w:val="18"/>
              </w:rPr>
              <w:t>117,61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4E556A" w:rsidRPr="00B96B4F" w:rsidTr="006740F0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4E556A" w:rsidRPr="00B96B4F" w:rsidRDefault="004E556A" w:rsidP="006740F0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4E556A" w:rsidRPr="00B96B4F" w:rsidRDefault="004E556A" w:rsidP="006740F0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4E556A" w:rsidRPr="00B96B4F" w:rsidRDefault="004E556A" w:rsidP="006740F0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4E556A" w:rsidRPr="00B96B4F" w:rsidRDefault="004E556A" w:rsidP="006740F0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4E556A" w:rsidRPr="00B96B4F" w:rsidRDefault="004E556A" w:rsidP="006740F0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4E556A" w:rsidRPr="00B96B4F" w:rsidRDefault="004E556A" w:rsidP="006740F0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E556A" w:rsidRPr="00B96B4F" w:rsidTr="006740F0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4E556A" w:rsidRPr="00B96B4F" w:rsidRDefault="004E556A" w:rsidP="004E556A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</w:t>
            </w:r>
            <w:r w:rsidRPr="004E556A">
              <w:rPr>
                <w:rFonts w:asciiTheme="majorHAnsi" w:hAnsiTheme="majorHAnsi" w:cs="Arial"/>
                <w:b/>
                <w:sz w:val="18"/>
                <w:szCs w:val="18"/>
              </w:rPr>
              <w:t>ther forms of teaching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56A" w:rsidRPr="00B96B4F" w:rsidRDefault="00B44912" w:rsidP="00DA3CE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E556A" w:rsidRPr="00B96B4F" w:rsidRDefault="004E556A" w:rsidP="006740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56A" w:rsidRPr="00B96B4F" w:rsidRDefault="00B44912" w:rsidP="006740F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 w:rsidP="00E1715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15B" w:rsidRPr="00E1715B">
              <w:rPr>
                <w:rFonts w:asciiTheme="majorHAnsi" w:hAnsiTheme="majorHAnsi" w:cs="Arial"/>
                <w:b/>
                <w:sz w:val="18"/>
                <w:szCs w:val="18"/>
              </w:rPr>
              <w:t xml:space="preserve">Faculty of Natural Sciences and Mathematics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 w:rsidRPr="00A041FB">
              <w:rPr>
                <w:rFonts w:asciiTheme="majorHAnsi" w:hAnsiTheme="majorHAnsi" w:cs="Arial"/>
                <w:b/>
                <w:sz w:val="18"/>
                <w:szCs w:val="18"/>
              </w:rPr>
              <w:t>Chemistry / Chemistry / Specializations: Applied Chemistry and Medicinal Chemistr</w:t>
            </w:r>
            <w:r w:rsidR="00E1715B" w:rsidRPr="00E1715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4E556A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B44912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 w:rsidRPr="00DA3CE1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 w:rsidR="00EC4B93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EC4B93" w:rsidRPr="00EC4B93">
              <w:rPr>
                <w:rFonts w:asciiTheme="majorHAnsi" w:hAnsiTheme="majorHAnsi" w:cs="Arial"/>
                <w:b/>
                <w:sz w:val="18"/>
                <w:szCs w:val="18"/>
              </w:rPr>
              <w:t>PhD, Full Professor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B44912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 w:rsidRPr="00A041FB">
              <w:rPr>
                <w:rFonts w:asciiTheme="majorHAnsi" w:hAnsiTheme="majorHAnsi" w:cs="Arial"/>
                <w:b/>
                <w:sz w:val="18"/>
                <w:szCs w:val="18"/>
              </w:rPr>
              <w:t xml:space="preserve">Extension of acquired knowledge in qualitative and quantitative analytical chemistry to a higher level, through gaining knowledge of equilibria in non-aqueous media (acid–base equilibria, complexation, etc.), as well as the characteristics of </w:t>
            </w:r>
            <w:r w:rsidR="00A041FB" w:rsidRPr="00A041FB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non-aqueous solvents (e.g. ionic liquids).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B44912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 w:rsidRPr="00A041FB">
              <w:rPr>
                <w:rFonts w:asciiTheme="majorHAnsi" w:hAnsiTheme="majorHAnsi" w:cs="Arial"/>
                <w:b/>
                <w:sz w:val="18"/>
                <w:szCs w:val="18"/>
              </w:rPr>
              <w:t>Upon successful completion of the course syllabus, students will be able to apply the acquired knowledge of equilibria in non-aqueous media in independent scientific research work.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041FB" w:rsidRDefault="00B44912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A3CE1" w:rsidRPr="00DA3CE1">
              <w:rPr>
                <w:rFonts w:asciiTheme="majorHAnsi" w:hAnsiTheme="majorHAnsi" w:cs="Arial"/>
                <w:b/>
                <w:sz w:val="18"/>
                <w:szCs w:val="18"/>
              </w:rPr>
              <w:t>Equilibria in nonaqueous media: acidity and basicity of nonaqueous solvents. Leveling and differentiating effects. Solvation of ions in nonaqueous media, ion pairs, activity coefficients of neutral molecules (salting-out effect).</w:t>
            </w:r>
          </w:p>
          <w:p w:rsidR="00A041FB" w:rsidRDefault="00DA3CE1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A3CE1">
              <w:rPr>
                <w:rFonts w:asciiTheme="majorHAnsi" w:hAnsiTheme="majorHAnsi" w:cs="Arial"/>
                <w:b/>
                <w:sz w:val="18"/>
                <w:szCs w:val="18"/>
              </w:rPr>
              <w:t xml:space="preserve">Equilibria in mixed solvents, solvent autoprotolysis. </w:t>
            </w:r>
          </w:p>
          <w:p w:rsidR="00A041FB" w:rsidRDefault="00DA3CE1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A3CE1">
              <w:rPr>
                <w:rFonts w:asciiTheme="majorHAnsi" w:hAnsiTheme="majorHAnsi" w:cs="Arial"/>
                <w:b/>
                <w:sz w:val="18"/>
                <w:szCs w:val="18"/>
              </w:rPr>
              <w:t xml:space="preserve">pH scale in nonaqueous media. </w:t>
            </w:r>
          </w:p>
          <w:p w:rsidR="00A041FB" w:rsidRDefault="00DA3CE1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A3CE1">
              <w:rPr>
                <w:rFonts w:asciiTheme="majorHAnsi" w:hAnsiTheme="majorHAnsi" w:cs="Arial"/>
                <w:b/>
                <w:sz w:val="18"/>
                <w:szCs w:val="18"/>
              </w:rPr>
              <w:t xml:space="preserve">Physicochemical characterization of nonaqueous solvents. </w:t>
            </w:r>
          </w:p>
          <w:p w:rsidR="00A041FB" w:rsidRDefault="00DA3CE1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A3CE1">
              <w:rPr>
                <w:rFonts w:asciiTheme="majorHAnsi" w:hAnsiTheme="majorHAnsi" w:cs="Arial"/>
                <w:b/>
                <w:sz w:val="18"/>
                <w:szCs w:val="18"/>
              </w:rPr>
              <w:t xml:space="preserve">Determination of water content in nonaqueous solvents, water removal. </w:t>
            </w:r>
          </w:p>
          <w:p w:rsidR="00CB72ED" w:rsidRPr="00B96B4F" w:rsidRDefault="00DA3CE1" w:rsidP="00DA3CE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A3CE1">
              <w:rPr>
                <w:rFonts w:asciiTheme="majorHAnsi" w:hAnsiTheme="majorHAnsi" w:cs="Arial"/>
                <w:b/>
                <w:sz w:val="18"/>
                <w:szCs w:val="18"/>
              </w:rPr>
              <w:t>Salt solutions, aqueous solutions, and ionic liquids.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B44912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041FB" w:rsidRPr="00A041FB" w:rsidRDefault="00B44912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41FB" w:rsidRPr="00A041FB">
              <w:rPr>
                <w:rFonts w:asciiTheme="majorHAnsi" w:hAnsiTheme="majorHAnsi" w:cs="Arial"/>
                <w:b/>
                <w:sz w:val="18"/>
                <w:szCs w:val="18"/>
              </w:rPr>
              <w:t>In order to ensure efficient teaching delivery and the achievement of the expected learning outcomes and student competencies by the end of the semester, various teaching methods are used:</w:t>
            </w:r>
          </w:p>
          <w:p w:rsidR="00A041FB" w:rsidRPr="00A041FB" w:rsidRDefault="00A041FB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A041FB">
              <w:rPr>
                <w:rFonts w:asciiTheme="majorHAnsi" w:hAnsiTheme="majorHAnsi" w:cs="Arial"/>
                <w:b/>
                <w:sz w:val="18"/>
                <w:szCs w:val="18"/>
              </w:rPr>
              <w:t xml:space="preserve">lectures (L), </w:t>
            </w:r>
          </w:p>
          <w:p w:rsidR="00A041FB" w:rsidRPr="00A041FB" w:rsidRDefault="00A041FB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A041FB">
              <w:rPr>
                <w:rFonts w:asciiTheme="majorHAnsi" w:hAnsiTheme="majorHAnsi" w:cs="Arial"/>
                <w:b/>
                <w:sz w:val="18"/>
                <w:szCs w:val="18"/>
              </w:rPr>
              <w:t xml:space="preserve">team/group projects (seminar papers) (GP), and </w:t>
            </w:r>
          </w:p>
          <w:p w:rsidR="00CB72ED" w:rsidRPr="00B96B4F" w:rsidRDefault="00A041FB" w:rsidP="00A041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A041FB">
              <w:rPr>
                <w:rFonts w:asciiTheme="majorHAnsi" w:hAnsiTheme="majorHAnsi" w:cs="Arial"/>
                <w:b/>
                <w:sz w:val="18"/>
                <w:szCs w:val="18"/>
              </w:rPr>
              <w:t>short tests covering the essential content of the completed course material.</w:t>
            </w:r>
            <w:r w:rsidR="00B44912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13C9" w:rsidRPr="00E113C9" w:rsidRDefault="00B44912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13C9" w:rsidRPr="00E113C9">
              <w:rPr>
                <w:rFonts w:asciiTheme="majorHAnsi" w:hAnsiTheme="majorHAnsi" w:cs="Arial"/>
                <w:b/>
                <w:sz w:val="18"/>
                <w:szCs w:val="18"/>
              </w:rPr>
              <w:t>Assessment of student knowledge is carried out using the following methods: tests (midterm exams), a seminar paper, and a final exam.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– Student activity during lectures: maximum 5 points.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– Two tests (first and second midterm): maximum 2 × 15 points.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– Seminar paper within the course area: 15 points.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– Final exam: maximum 50 points.</w:t>
            </w:r>
          </w:p>
          <w:p w:rsidR="00CB72ED" w:rsidRPr="00B96B4F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44912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13C9" w:rsidRPr="00E113C9" w:rsidRDefault="00B44912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13C9" w:rsidRPr="00E113C9">
              <w:rPr>
                <w:rFonts w:asciiTheme="majorHAnsi" w:hAnsiTheme="majorHAnsi" w:cs="Arial"/>
                <w:b/>
                <w:sz w:val="18"/>
                <w:szCs w:val="18"/>
              </w:rPr>
              <w:t>Pre-exam obligations: Tests: 30%; Seminar paper: 15%; Student activity: 5%.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Final exam: 50%.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Grading system: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Grade six (6): 55–64 points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Grade seven (7): 65–74 points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Grade eight (8): 75–84 points</w:t>
            </w:r>
          </w:p>
          <w:p w:rsidR="00E113C9" w:rsidRPr="00E113C9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Grade nine (9): 85–94 points</w:t>
            </w:r>
          </w:p>
          <w:p w:rsidR="00CB72ED" w:rsidRPr="00B96B4F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>Grade ten (10): 95–100 points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B44912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13C9" w:rsidRPr="00E113C9" w:rsidRDefault="00B44912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13C9" w:rsidRPr="00E113C9">
              <w:rPr>
                <w:rFonts w:asciiTheme="majorHAnsi" w:hAnsiTheme="majorHAnsi" w:cs="Arial"/>
                <w:b/>
                <w:sz w:val="18"/>
                <w:szCs w:val="18"/>
              </w:rPr>
              <w:t>Hibbert Brynn. D., (2007) Quality Assurance in the Analytical Chemistry Laboratory. Oxford University Press. USA.</w:t>
            </w:r>
          </w:p>
          <w:p w:rsidR="00CB72ED" w:rsidRPr="00B96B4F" w:rsidRDefault="00E113C9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13C9">
              <w:rPr>
                <w:rFonts w:asciiTheme="majorHAnsi" w:hAnsiTheme="majorHAnsi" w:cs="Arial"/>
                <w:b/>
                <w:sz w:val="18"/>
                <w:szCs w:val="18"/>
              </w:rPr>
              <w:t xml:space="preserve"> Ahuja. S., Jespersen. N., (2006) Comprehensive Analytical Chemistry: Modern Instrumental Analysis. Willson &amp; Willson's </w:t>
            </w:r>
            <w:r w:rsidR="00B44912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B44912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13C9" w:rsidRPr="00E113C9">
              <w:rPr>
                <w:rFonts w:asciiTheme="majorHAnsi" w:hAnsiTheme="majorHAnsi" w:cs="Arial"/>
                <w:b/>
                <w:sz w:val="18"/>
                <w:szCs w:val="18"/>
              </w:rPr>
              <w:t>Harris, D. C. (2003) Quantitative Chemical Analysis. W. H. Freeman and Company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B44912" w:rsidP="00E113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13C9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B44912" w:rsidP="00E2090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E113C9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E2090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E113C9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E2090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B449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041F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E113C9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041F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041F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103AE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103AE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03AE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29F" w:rsidRDefault="0019429F">
      <w:pPr>
        <w:spacing w:line="240" w:lineRule="auto"/>
      </w:pPr>
      <w:r>
        <w:separator/>
      </w:r>
    </w:p>
  </w:endnote>
  <w:endnote w:type="continuationSeparator" w:id="0">
    <w:p w:rsidR="0019429F" w:rsidRDefault="001942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B44912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3AE5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B44912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B44912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3AE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B44912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B44912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B44912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3AE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B44912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29F" w:rsidRDefault="0019429F">
      <w:pPr>
        <w:spacing w:after="0"/>
      </w:pPr>
      <w:r>
        <w:separator/>
      </w:r>
    </w:p>
  </w:footnote>
  <w:footnote w:type="continuationSeparator" w:id="0">
    <w:p w:rsidR="0019429F" w:rsidRDefault="001942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3707"/>
    <w:rsid w:val="00103AE5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29F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D780A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86FD7"/>
    <w:rsid w:val="0048794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56A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A6E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40F0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6FAD"/>
    <w:rsid w:val="00740742"/>
    <w:rsid w:val="00743861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15E0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3616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41F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2E97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657"/>
    <w:rsid w:val="00B26874"/>
    <w:rsid w:val="00B337AA"/>
    <w:rsid w:val="00B37D1D"/>
    <w:rsid w:val="00B44912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66ED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67D7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CE1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13C9"/>
    <w:rsid w:val="00E129E8"/>
    <w:rsid w:val="00E1535D"/>
    <w:rsid w:val="00E1715B"/>
    <w:rsid w:val="00E17B89"/>
    <w:rsid w:val="00E2090C"/>
    <w:rsid w:val="00E22091"/>
    <w:rsid w:val="00E43E34"/>
    <w:rsid w:val="00E44271"/>
    <w:rsid w:val="00E44BC5"/>
    <w:rsid w:val="00E4797B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8AD"/>
    <w:rsid w:val="00EA7C41"/>
    <w:rsid w:val="00EB0A0D"/>
    <w:rsid w:val="00EB471F"/>
    <w:rsid w:val="00EB4EEE"/>
    <w:rsid w:val="00EC2FE4"/>
    <w:rsid w:val="00EC4257"/>
    <w:rsid w:val="00EC4B93"/>
    <w:rsid w:val="00EC7227"/>
    <w:rsid w:val="00EE2B1A"/>
    <w:rsid w:val="00EE7522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1300F-7591-4A94-881F-A68112F8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34269-FDF9-47AC-B8F1-3C9E9A16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Win10</cp:lastModifiedBy>
  <cp:revision>8</cp:revision>
  <cp:lastPrinted>2024-03-25T13:56:00Z</cp:lastPrinted>
  <dcterms:created xsi:type="dcterms:W3CDTF">2024-03-25T12:55:00Z</dcterms:created>
  <dcterms:modified xsi:type="dcterms:W3CDTF">2026-04-27T11:21:00Z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